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right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9"/>
        <w:spacing w:before="0" w:after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9"/>
        <w:spacing w:before="0" w:after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от ____________</w:t>
        <w:tab/>
        <w:tab/>
        <w:tab/>
        <w:tab/>
        <w:tab/>
        <w:tab/>
        <w:tab/>
        <w:tab/>
        <w:tab/>
        <w:t xml:space="preserve">     </w:t>
        <w:tab/>
        <w:t xml:space="preserve"> № ____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color w:val="FFFFFF"/>
          <w:sz w:val="28"/>
          <w:szCs w:val="28"/>
        </w:rPr>
      </w:pPr>
      <w:r>
        <w:rPr>
          <w:rFonts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eastAsia="PT Astra Serif" w:cs="PT Astra Serif"/>
          <w:b/>
          <w:b/>
          <w:color w:val="FFFFFF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FFFFFF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конкурсной комиссии</w:t>
      </w:r>
    </w:p>
    <w:p>
      <w:pPr>
        <w:pStyle w:val="Normal"/>
        <w:spacing w:lineRule="auto" w:line="235" w:before="0" w:after="0"/>
        <w:jc w:val="center"/>
        <w:rPr/>
      </w:pPr>
      <w:r>
        <w:rPr>
          <w:rFonts w:cs="PT Astra Serif" w:ascii="PT Astra Serif" w:hAnsi="PT Astra Serif"/>
          <w:b/>
          <w:bCs/>
          <w:sz w:val="26"/>
          <w:szCs w:val="26"/>
        </w:rPr>
        <w:t xml:space="preserve">для конкурсного отбора сельскохозяйственных потребительских кооперативов на получение грантов в форме субсидий из областного бюджета Ульяновской области в целях финансового обеспечения их затрат </w:t>
      </w:r>
    </w:p>
    <w:p>
      <w:pPr>
        <w:pStyle w:val="Normal"/>
        <w:spacing w:lineRule="auto" w:line="235" w:before="0" w:after="0"/>
        <w:jc w:val="center"/>
        <w:rPr/>
      </w:pPr>
      <w:r>
        <w:rPr>
          <w:rFonts w:cs="PT Astra Serif" w:ascii="PT Astra Serif" w:hAnsi="PT Astra Serif"/>
          <w:b/>
          <w:bCs/>
          <w:sz w:val="26"/>
          <w:szCs w:val="26"/>
        </w:rPr>
        <w:t>в целях развития материально-технической базы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PT Astra Serif"/>
          <w:b/>
          <w:b/>
          <w:bCs/>
          <w:color w:val="auto"/>
          <w:spacing w:val="-4"/>
          <w:sz w:val="26"/>
          <w:szCs w:val="26"/>
          <w:lang w:val="ru-RU" w:eastAsia="en-US"/>
        </w:rPr>
      </w:pPr>
      <w:r>
        <w:rPr>
          <w:rFonts w:cs="PT Astra Serif" w:ascii="PT Astra Serif" w:hAnsi="PT Astra Serif"/>
          <w:b/>
          <w:bCs/>
          <w:color w:val="auto"/>
          <w:spacing w:val="-4"/>
          <w:sz w:val="26"/>
          <w:szCs w:val="26"/>
          <w:lang w:val="ru-RU" w:eastAsia="en-US"/>
        </w:rPr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widowControl w:val="false"/>
        <w:shd w:val="clear" w:fill="FFFFFF"/>
        <w:ind w:left="0" w:right="0" w:firstLine="709"/>
        <w:jc w:val="both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В целях реализации Правил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                      с осуществлением деятельности по развитию своей материально-технической базы, утверждённых постановлением Правительства Ульяновской области от 07.08.2014                 № 346-П «О некоторых мерах, направленных на развитие потребительских обществ, сельскохозяйственных потребительских кооперативов, садоводческих                                     и огороднических некоммерческих товариществ» п р и к а з ы в а ю: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 xml:space="preserve">1. Утвердить Положение о конкурсной комиссии для конкурсного отбора сельскохозяйственных потребительских кооперативов на получение </w:t>
      </w:r>
      <w:r>
        <w:rPr>
          <w:rFonts w:eastAsia="Times New Roman" w:cs="PT Astra Serif" w:ascii="PT Astra Serif" w:hAnsi="PT Astra Serif"/>
          <w:bCs/>
          <w:color w:val="auto"/>
          <w:kern w:val="0"/>
          <w:sz w:val="26"/>
          <w:szCs w:val="26"/>
          <w:lang w:val="ru-RU" w:eastAsia="zh-CN" w:bidi="ar-SA"/>
        </w:rPr>
        <w:t xml:space="preserve">грантов                             в форме субсидий из областного бюджета Ульяновской области в целях финансового обеспечения их затрат в целях развития материально-технической базы. 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6"/>
          <w:szCs w:val="26"/>
          <w:lang w:val="ru-RU" w:eastAsia="en-US"/>
        </w:rPr>
        <w:t>2. Признать утратившим силу п</w:t>
      </w:r>
      <w:r>
        <w:rPr>
          <w:rFonts w:cs="PT Astra Serif" w:ascii="PT Astra Serif" w:hAnsi="PT Astra Serif"/>
          <w:b w:val="false"/>
          <w:bCs w:val="false"/>
          <w:color w:val="000000"/>
          <w:spacing w:val="-4"/>
          <w:sz w:val="26"/>
          <w:szCs w:val="26"/>
          <w:lang w:val="ru-RU" w:eastAsia="en-US"/>
        </w:rPr>
        <w:t>риказ Министерства агропромышленного комплекса и развития сельских территорий Ульяновской области                                         от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15</w:t>
      </w:r>
      <w:bookmarkStart w:id="0" w:name="__DdeLink__147_27629704231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6"/>
          <w:szCs w:val="26"/>
          <w:lang w:val="ru-RU" w:eastAsia="en-US"/>
        </w:rPr>
        <w:t>.05.2019 № 17</w:t>
      </w:r>
      <w:bookmarkEnd w:id="0"/>
      <w:r>
        <w:rPr>
          <w:rFonts w:eastAsia="" w:cs="PT Astra Serif" w:ascii="PT Astra Serif" w:hAnsi="PT Astra Serif" w:eastAsiaTheme="minorHAnsi"/>
          <w:b w:val="false"/>
          <w:bCs w:val="false"/>
          <w:color w:val="auto"/>
          <w:spacing w:val="-4"/>
          <w:sz w:val="26"/>
          <w:szCs w:val="26"/>
          <w:lang w:val="ru-RU" w:eastAsia="en-US"/>
        </w:rPr>
        <w:t xml:space="preserve"> «Об утверждении положения о конкурсной комиссии </w:t>
      </w:r>
      <w:r>
        <w:rPr>
          <w:rFonts w:ascii="PT Astra Serif" w:hAnsi="PT Astra Serif"/>
          <w:b w:val="false"/>
          <w:bCs w:val="false"/>
          <w:sz w:val="26"/>
          <w:szCs w:val="26"/>
        </w:rPr>
        <w:t>для конкурсного отбора сельскохозяйственных потребительских кооперативов                            на получение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материально-технической базы».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3. Настоящий приказ вступает в силу на следующий день после дня его официального опубликования.</w:t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widowControl w:val="false"/>
        <w:spacing w:lineRule="auto" w:line="228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 xml:space="preserve">Заместитель Председателя Правительства 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6"/>
          <w:szCs w:val="26"/>
        </w:rPr>
        <w:t xml:space="preserve">Ульяновской области – Министр 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sectPr>
          <w:type w:val="nextPage"/>
          <w:pgSz w:w="11906" w:h="16838"/>
          <w:pgMar w:left="1695" w:right="572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28"/>
        <w:rPr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сельских территорий Ульяновской области</w:t>
        <w:tab/>
        <w:tab/>
        <w:tab/>
        <w:t xml:space="preserve">                       М.И.Семёнкин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УТВЕРЖДЕНО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 xml:space="preserve">приказом Министерства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 xml:space="preserve">агропромышленного комплекса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 xml:space="preserve">и развития сельских территорий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 xml:space="preserve">Ульяновской области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firstLine="5669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от ________ № ___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b/>
          <w:b/>
          <w:bCs/>
        </w:rPr>
      </w:pPr>
      <w:r>
        <w:rPr>
          <w:rFonts w:cs="PT Astra Serif" w:ascii="PT Astra Serif" w:hAnsi="PT Astra Serif"/>
          <w:b/>
          <w:bCs/>
          <w:sz w:val="26"/>
          <w:szCs w:val="26"/>
        </w:rPr>
        <w:t>П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6"/>
          <w:szCs w:val="26"/>
          <w:lang w:val="ru-RU" w:eastAsia="zh-CN" w:bidi="ar-SA"/>
        </w:rPr>
        <w:t xml:space="preserve">ОЛОЖЕНИЕ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 xml:space="preserve">о конкурсной комиссии </w:t>
      </w:r>
      <w:r>
        <w:rPr>
          <w:rFonts w:cs="PT Astra Serif" w:ascii="PT Astra Serif" w:hAnsi="PT Astra Serif"/>
          <w:b/>
          <w:bCs/>
          <w:sz w:val="26"/>
          <w:szCs w:val="26"/>
        </w:rPr>
        <w:t>для конкурсного отбора сельскохозяйственных потребительских кооперативов на получение грантов в форме субсидий              из областного бюджета Ульяновской области в целях финансового обеспечения их затрат в целях развития материально-технической базы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b/>
          <w:b/>
          <w:bCs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Times New Roman" w:cs="PT Astra Serif" w:ascii="PT Astra Serif" w:hAnsi="PT Astra Serif"/>
          <w:b/>
          <w:bCs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>1. Общие положения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ab/>
        <w:t xml:space="preserve">1. Настоящее Положение определяет порядок формирования, функции                        и порядок работы конкурсной комиссии, созданной для определения победителей конкурсного отбора для получения грантов в форме субсидий из областного бюджета Ульяновской области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в целях финансового обеспечения их затрат в целях развития материально-технической базы</w:t>
      </w: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 xml:space="preserve"> (далее — конкурсная комиссия, конкурсный отбор, грант соответственно).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ab/>
        <w:t>2. Деятельность конкурсной комиссии основывается на соблюдении принципов открытости, объективности, гласности при проведении конкурсного отбора.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ab/>
        <w:t xml:space="preserve">3. В своей деятельности конкурсная комиссия руководствуется законодательством Российской Федерации и законодательством Ульяновской области, в том числе Конституцией Российской Федерации, федеральными законами, иными нормативными правовыми актами Российской Федерации, законами Ульяновской области, иными нормативными правовыми актами Ульяновской области, Правилами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>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— Правила предоставление грантов), а также настоящим Положением.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ab/>
        <w:t>4. Министерство агропромышленного комплекса и развитие сельских территорий Ульяновской области (далее — Министерство) обеспечивает деятельность конкурсной комиссии, в том числе организует проведение её заседаний.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>2. Порядок формирования конкурсной комиссии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center"/>
        <w:rPr>
          <w:rFonts w:ascii="PT Astra Serif" w:hAnsi="PT Astra Serif" w:eastAsia="Times New Roman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ab/>
        <w:t xml:space="preserve">1. 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ab/>
        <w:t xml:space="preserve">2. </w:t>
      </w:r>
      <w:r>
        <w:rPr>
          <w:rFonts w:eastAsia="Times New Roman" w:cs="PT Astra Serif" w:ascii="PT Astra Serif" w:hAnsi="PT Astra Serif"/>
          <w:bCs/>
          <w:color w:val="auto"/>
          <w:kern w:val="0"/>
          <w:sz w:val="26"/>
          <w:szCs w:val="26"/>
          <w:lang w:val="ru-RU" w:eastAsia="zh-CN" w:bidi="ar-SA"/>
        </w:rPr>
        <w:t xml:space="preserve">В состав конкурсной комиссии включаются государственные гражданские служащие Ульяновской области и, по согласованию, муниципальные служащие, представители кредитных, научных и аудиторских организаций, ревизионных союзов сельскохозяйственных кооперативов, общественных организаций, представители областной ассоциации фермеров, при этом государственные гражданские служащие Ульяновской области и муниципальные служащие не могут составлять более половины состава конкурсной комиссии. </w:t>
      </w:r>
    </w:p>
    <w:p>
      <w:pPr>
        <w:pStyle w:val="Normal"/>
        <w:widowControl/>
        <w:suppressAutoHyphens w:val="true"/>
        <w:bidi w:val="0"/>
        <w:spacing w:lineRule="auto" w:line="228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3. Председатель конкурсной комиссии, заместитель председателя конкурсной комиссии, секретарь конкурсной комиссии и члены конкурсной комиссии участвуют в деятельности конкурсной комиссии на безвозмездной основе.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4. Состав конкурсной комиссии утверждается распоряжением Министерства.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З. Функции конкурсной комиссии</w:t>
      </w:r>
    </w:p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3.1. Конкурсная </w:t>
      </w:r>
      <w:r>
        <w:rPr>
          <w:rFonts w:ascii="PT Astra Serif" w:hAnsi="PT Astra Serif"/>
          <w:sz w:val="26"/>
          <w:szCs w:val="26"/>
          <w:lang w:val="ru-RU"/>
        </w:rPr>
        <w:t>комиссия</w:t>
      </w:r>
      <w:r>
        <w:rPr>
          <w:rFonts w:ascii="PT Astra Serif" w:hAnsi="PT Astra Serif"/>
          <w:sz w:val="26"/>
          <w:szCs w:val="26"/>
        </w:rPr>
        <w:t xml:space="preserve"> осуществляет следующие функции: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ab/>
        <w:t>1) рассматривает документы и проводит проверку соответствия участников критериям, установленным Правилам предоставления гранта;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2) проводит очное собеседование </w:t>
      </w:r>
      <w:bookmarkStart w:id="1" w:name="__DdeLink__2335_759608611"/>
      <w:r>
        <w:rPr>
          <w:rFonts w:ascii="PT Astra Serif" w:hAnsi="PT Astra Serif"/>
          <w:sz w:val="26"/>
          <w:szCs w:val="26"/>
        </w:rPr>
        <w:t>с каждым участником конкурсного отбора</w:t>
      </w:r>
      <w:bookmarkStart w:id="2" w:name="__DdeLink__19082_759608611"/>
      <w:bookmarkEnd w:id="1"/>
      <w:r>
        <w:rPr>
          <w:rFonts w:ascii="PT Astra Serif" w:hAnsi="PT Astra Serif"/>
          <w:sz w:val="26"/>
          <w:szCs w:val="26"/>
        </w:rPr>
        <w:t xml:space="preserve"> </w:t>
      </w:r>
      <w:bookmarkEnd w:id="2"/>
      <w:r>
        <w:rPr>
          <w:rFonts w:ascii="PT Astra Serif" w:hAnsi="PT Astra Serif"/>
          <w:sz w:val="26"/>
          <w:szCs w:val="26"/>
        </w:rPr>
        <w:t xml:space="preserve">                   и оценивает представленные ими Проекты по показателям, установленным Правилами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1" name="Picture 48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87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>предоставления грантов;</w:t>
      </w:r>
    </w:p>
    <w:p>
      <w:pPr>
        <w:pStyle w:val="Normal"/>
        <w:jc w:val="both"/>
        <w:rPr/>
      </w:pPr>
      <w:r>
        <w:rPr>
          <w:rFonts w:ascii="PT Astra Serif" w:hAnsi="PT Astra Serif"/>
          <w:sz w:val="26"/>
          <w:szCs w:val="26"/>
        </w:rPr>
        <w:tab/>
        <w:t>3) п</w:t>
      </w:r>
      <w:r>
        <w:rPr>
          <w:rStyle w:val="Style13"/>
          <w:rFonts w:eastAsia="Calibri" w:cs="PT Astra Serif" w:ascii="PT Astra Serif" w:hAnsi="PT Astra Serif"/>
          <w:spacing w:val="-4"/>
          <w:sz w:val="26"/>
          <w:szCs w:val="26"/>
          <w:lang w:eastAsia="en-US"/>
        </w:rPr>
        <w:t xml:space="preserve">о результатам очного собеседования с участниками конкурсного отбора                       и рассмотрения представленных ими Проектов конкурсная комиссия принимает решение о признании Проектов прошедшими конкурсный отбор и (или) решение                      об отказе в признании Проектов прошедшими конкурсный отбор, а также определяет объёмы грантов, подлежащих предоставлению участникам конкурсного отбора, Проекты которых прошли конкурсный отбор; 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4) рассматривает заявления </w:t>
      </w:r>
      <w:bookmarkStart w:id="3" w:name="__DdeLink__4478_2072715491"/>
      <w:r>
        <w:rPr>
          <w:rFonts w:ascii="PT Astra Serif" w:hAnsi="PT Astra Serif"/>
          <w:sz w:val="26"/>
          <w:szCs w:val="26"/>
        </w:rPr>
        <w:t xml:space="preserve">получателя гранта о возможности внесения изменений в план затрат </w:t>
      </w:r>
      <w:bookmarkEnd w:id="3"/>
      <w:r>
        <w:rPr>
          <w:rFonts w:ascii="PT Astra Serif" w:hAnsi="PT Astra Serif"/>
          <w:sz w:val="26"/>
          <w:szCs w:val="26"/>
        </w:rPr>
        <w:t>в соответствии с настоящим Положением. Принимает решение о внесении изменений в план затрат и (или) решение об отказе внесения изменений в план затрат.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3.2. В целях реализации возложенных на конкурсную комиссию функций конкурсная комиссия вправе направлять запросы о предоставлении информации               и материалов в пределах компетенции, привлекать к работе экспертов                           и специалистов.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4. Порядок работы конкурсной комиссии</w:t>
      </w:r>
    </w:p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4.1. Основной формой работы конкурсной комиссии является заседание.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2" name="Picture 71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13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4.2. Заседание конкурсной комиссии считается правомочным, если на нём присутствует не менее чем две трети членов конкурсной комиссии. Члены конкурсной комиссии обязаны лично участвовать в заседании конкурсной комиссии           и не вправе делегировать свои полномочия другим лицам.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4.3. 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работы конкурсной комиссии письменно уведомить                    об этом председателя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3" name="Picture 7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13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ab/>
        <w:t xml:space="preserve">4.4. </w:t>
      </w:r>
      <w:r>
        <w:rPr>
          <w:rFonts w:ascii="PT Astra Serif" w:hAnsi="PT Astra Serif"/>
          <w:sz w:val="26"/>
          <w:szCs w:val="26"/>
          <w:lang w:val="ru-RU"/>
        </w:rPr>
        <w:t>П</w:t>
      </w:r>
      <w:r>
        <w:rPr>
          <w:rFonts w:ascii="PT Astra Serif" w:hAnsi="PT Astra Serif"/>
          <w:sz w:val="26"/>
          <w:szCs w:val="26"/>
        </w:rPr>
        <w:t>редседатель конкурсной комиссии: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1) председательствует на заседаниях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2) осуществляет общее руководство деятельностью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3) утверждает повестку дня, назначает дату заседания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4) подписывает протокол заседания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5) в случае равенства голосов решение председательствующего является решающим.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4.5. Заместитель председателя конкурсной комиссии: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1) исполняет поручения председателя конкурсной комиссии, связанные                с вопросами организации работы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2) участвует в заседании конкурсной комиссии в качестве члена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3) подписывает протокол заседания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4) председательствует на заседании конкурсной комиссии в случае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4" name="Picture 93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35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>отсутствия председателя конкурсной комиссии и подписывает протокол данного заседания.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4.6. Секретарь конкурсной комиссии: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1) информирует всех членов конкурсной комиссии о дате, времени и месте проведения заседания конкурсной комиссии не позднее чем за 3 рабочих дня до дня проведения заседания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2) осуществляет подготовку материалов к заседаниям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3) приглашает на заседания конкурсной комиссии экспертов                                 и специалистов;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7780" cy="27305"/>
            <wp:effectExtent l="0" t="0" r="0" b="0"/>
            <wp:docPr id="5" name="Picture 233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35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887" t="-1258" r="-1887" b="-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ab/>
        <w:t>4) организует ознакомление членов конкурсной комиссии с представленными заявками, Проектами и иными документами;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5) ведёт протокол заседания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6) рассчитывает по каждому оценённому Проекту среднюю итоговую сумму баллов, выставленных каждым из присутствующих членов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page">
              <wp:posOffset>7310755</wp:posOffset>
            </wp:positionH>
            <wp:positionV relativeFrom="page">
              <wp:posOffset>1051560</wp:posOffset>
            </wp:positionV>
            <wp:extent cx="15875" cy="15875"/>
            <wp:effectExtent l="0" t="0" r="0" b="0"/>
            <wp:wrapSquare wrapText="bothSides"/>
            <wp:docPr id="6" name="Picture 93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35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page">
              <wp:posOffset>7310755</wp:posOffset>
            </wp:positionH>
            <wp:positionV relativeFrom="page">
              <wp:posOffset>4937760</wp:posOffset>
            </wp:positionV>
            <wp:extent cx="15875" cy="15875"/>
            <wp:effectExtent l="0" t="0" r="0" b="0"/>
            <wp:wrapSquare wrapText="bothSides"/>
            <wp:docPr id="7" name="Picture 93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35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">
            <wp:simplePos x="0" y="0"/>
            <wp:positionH relativeFrom="page">
              <wp:posOffset>7310755</wp:posOffset>
            </wp:positionH>
            <wp:positionV relativeFrom="page">
              <wp:posOffset>5203190</wp:posOffset>
            </wp:positionV>
            <wp:extent cx="15875" cy="15875"/>
            <wp:effectExtent l="0" t="0" r="0" b="0"/>
            <wp:wrapSquare wrapText="bothSides"/>
            <wp:docPr id="8" name="Picture 93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35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5">
            <wp:simplePos x="0" y="0"/>
            <wp:positionH relativeFrom="page">
              <wp:posOffset>7310755</wp:posOffset>
            </wp:positionH>
            <wp:positionV relativeFrom="page">
              <wp:posOffset>2340610</wp:posOffset>
            </wp:positionV>
            <wp:extent cx="15875" cy="15875"/>
            <wp:effectExtent l="0" t="0" r="0" b="0"/>
            <wp:wrapSquare wrapText="bothSides"/>
            <wp:docPr id="9" name="Picture 93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35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6">
            <wp:simplePos x="0" y="0"/>
            <wp:positionH relativeFrom="page">
              <wp:posOffset>7310755</wp:posOffset>
            </wp:positionH>
            <wp:positionV relativeFrom="page">
              <wp:posOffset>3181985</wp:posOffset>
            </wp:positionV>
            <wp:extent cx="15875" cy="15875"/>
            <wp:effectExtent l="0" t="0" r="0" b="0"/>
            <wp:wrapSquare wrapText="bothSides"/>
            <wp:docPr id="10" name="Picture 93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35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">
            <wp:simplePos x="0" y="0"/>
            <wp:positionH relativeFrom="page">
              <wp:posOffset>7306310</wp:posOffset>
            </wp:positionH>
            <wp:positionV relativeFrom="page">
              <wp:posOffset>4004945</wp:posOffset>
            </wp:positionV>
            <wp:extent cx="15875" cy="15875"/>
            <wp:effectExtent l="0" t="0" r="0" b="0"/>
            <wp:wrapSquare wrapText="bothSides"/>
            <wp:docPr id="11" name="Picture 93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35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774" t="-3774" r="-3774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">
            <wp:simplePos x="0" y="0"/>
            <wp:positionH relativeFrom="page">
              <wp:posOffset>7310755</wp:posOffset>
            </wp:positionH>
            <wp:positionV relativeFrom="page">
              <wp:posOffset>5788025</wp:posOffset>
            </wp:positionV>
            <wp:extent cx="15875" cy="15875"/>
            <wp:effectExtent l="0" t="0" r="0" b="0"/>
            <wp:wrapSquare wrapText="bothSides"/>
            <wp:docPr id="12" name="Picture 93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36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7) заносит в сводную оценочную ведомость Проектов, форма которой утверждается правовым актом Министерства, с присвоением порядковых номеров наименований заявителей с соответствующей средней итоговой суммой баллов, рассчитанной на основании оценочной ведомости каждого из присутствующих членов конкурсной комиссии, в порядке убывания средних итоговых сумм баллов, начиная с Проекта, набравшего максимальную среднюю итоговую 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13" name="Picture 93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35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>сумму баллов. Проекты, набравшие равное количество баллов, должны быть включены в сводную оценочную ведомость Проектов в соответствии с датой и временем подачи документов в Министерство;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  <w:lang w:val="ru-RU"/>
        </w:rPr>
        <w:t>8) д</w:t>
      </w:r>
      <w:r>
        <w:rPr>
          <w:rFonts w:ascii="PT Astra Serif" w:hAnsi="PT Astra Serif"/>
          <w:sz w:val="26"/>
          <w:szCs w:val="26"/>
        </w:rPr>
        <w:t>оводит решения конкурсной комиссии до сведения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14" name="Picture 93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36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>заинтересованных лиц;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9) представляет в Министерство подписанный протокол заседания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15" name="Picture 93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36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>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4.7. Члены конкурсной комиссии: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1) участвуют в заседаниях конкурсной комиссии;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2) участвуют в рассмотрении поступивших заявок, проектов </w:t>
      </w:r>
      <w:r>
        <w:rPr>
          <w:rFonts w:ascii="PT Astra Serif" w:hAnsi="PT Astra Serif"/>
          <w:sz w:val="26"/>
          <w:szCs w:val="26"/>
        </w:rPr>
        <w:drawing>
          <wp:inline distT="0" distB="0" distL="0" distR="0">
            <wp:extent cx="15875" cy="15875"/>
            <wp:effectExtent l="0" t="0" r="0" b="0"/>
            <wp:docPr id="16" name="Picture 93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36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7692" t="-3774" r="-7692" b="-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6"/>
          <w:szCs w:val="26"/>
        </w:rPr>
        <w:t>и иных документов;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3) участвуют в очном собеседовании с заявителями при условии личного участия заявителя;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4) проводят оценку проектов с занесением данных в оценочную ведомость, форма которой утверждается Министерством, и сдают оценочную ведомость секретарю конкурсной комиссии в день заседания конкурсной комиссии. Заполнение оценочной ведомости вне заседания конкурсной комиссии не допускается;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5) принимают решение о признании Проектов прошедшими конкурсный отбор и (или) решение об отказе в признании Проектов прошедшими конкурсный отбор;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6) определяют объёмы грантов, подлежащих предоставлению участникам конкурсного отбора, Проекты которых прошли конкурсный отбор.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Размер гранта определяется в соответствии с размерами грантов, установленными Правилами предоставления грантов.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При недостаточности бюджетных ассигнований, предусмотренных                          в областном бюджете Ульяновской области на текущий финансовый год для предоставления грантов, максимальный размер гранта определяется Правилами предоставления грантов;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7) участвуют в голосовании при принятии решений конкурсной комиссии,                  в том числе при внесении изменении в план затрат получателей грантов;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8) подписывают протокол заседания конкурсной комиссии;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4.8. Решения конкурсной комиссии принимаются простым большинством голосов присутствующих на заседании членов конкурсной комиссии путём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 В случае несогласия с принятым решением член конкурсной комиссии вправе письменно изложить своё мотивированное мнение.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4.9. Решения конкурсной комиссии оформляются протоколом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Протоколы заседании конкурсной комиссии подписываются председательствующим на заседании, секретарём и членами конкурсной комиссии, присутствующими на заседании конкурсной комиссии. Изложенные в письменной форме мнения членов комиссии (при их наличии) подлежат приобщению к протоколу заседания конкурсной комиссии.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ab/>
        <w:t>4.10. В протоколе должны содержаться: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1) перечень участников конкурсного отбора, Проекты которых признаны конкурсной комиссией прошедшими конкурсной отбор и которым конкурсная комиссия рекомендует Министерству предоставить гранты, а также сведения                        об объёмах подлежащих предоставлению им грантов;</w:t>
      </w:r>
    </w:p>
    <w:p>
      <w:pPr>
        <w:pStyle w:val="Normal"/>
        <w:jc w:val="both"/>
        <w:rPr/>
      </w:pPr>
      <w:r>
        <w:rPr>
          <w:rFonts w:ascii="PT Astra Serif" w:hAnsi="PT Astra Serif"/>
          <w:sz w:val="26"/>
          <w:szCs w:val="26"/>
        </w:rPr>
        <w:tab/>
        <w:t>2) п</w:t>
      </w:r>
      <w:r>
        <w:rPr>
          <w:rStyle w:val="Style13"/>
          <w:rFonts w:eastAsia="Calibri" w:cs="PT Astra Serif" w:ascii="PT Astra Serif" w:hAnsi="PT Astra Serif"/>
          <w:kern w:val="0"/>
          <w:sz w:val="26"/>
          <w:szCs w:val="26"/>
          <w:lang w:eastAsia="en-US" w:bidi="ar-SA"/>
        </w:rPr>
        <w:t xml:space="preserve">еречень </w:t>
      </w:r>
      <w:r>
        <w:rPr>
          <w:rStyle w:val="Style13"/>
          <w:rFonts w:eastAsia="Calibri" w:cs="Times New Roman" w:ascii="PT Astra Serif" w:hAnsi="PT Astra Serif"/>
          <w:kern w:val="0"/>
          <w:sz w:val="26"/>
          <w:szCs w:val="26"/>
          <w:lang w:eastAsia="en-US" w:bidi="ar-SA"/>
        </w:rPr>
        <w:t>участников конкурсного отбора</w:t>
      </w:r>
      <w:r>
        <w:rPr>
          <w:rStyle w:val="Style13"/>
          <w:rFonts w:eastAsia="Calibri" w:cs="PT Astra Serif" w:ascii="PT Astra Serif" w:hAnsi="PT Astra Serif"/>
          <w:kern w:val="0"/>
          <w:sz w:val="26"/>
          <w:szCs w:val="26"/>
          <w:lang w:eastAsia="en-US" w:bidi="ar-SA"/>
        </w:rPr>
        <w:t xml:space="preserve">,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грантов, а также сведения об обстоятельствах, послуживших основаниями для принятия конкурсной комиссией решения об отказе в признании Проектов прошедшими конкурсный отбор; 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3) к протоколу прилагается сводная оценочная ведомость.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</w:t>
      </w:r>
      <w:r>
        <w:rPr>
          <w:rFonts w:ascii="PT Astra Serif" w:hAnsi="PT Astra Serif"/>
          <w:sz w:val="26"/>
          <w:szCs w:val="26"/>
        </w:rPr>
        <w:t>4.11. Основания для признания участников победителями конкурсного отбора                  и отказа в признании участников победителями конкурсного отбора предусматриваются Правилами предоставления гранта.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4.12. Протокол оформляется и подписывается председательствующим                 на заседании конкурсной комиссии, секретарём и членами конкурсной комиссии, присутствующими на заседании конкурсной комиссии, не позднее двух дней, следующих за днём заседания конкурсной комиссии. </w:t>
      </w:r>
    </w:p>
    <w:p>
      <w:pPr>
        <w:pStyle w:val="Normal"/>
        <w:jc w:val="both"/>
        <w:rPr/>
      </w:pPr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ab/>
        <w:t xml:space="preserve">4.13. Протокол не позднее первого рабочего дня, следующего за днем                         его подписания, передаётся в Министерство и размещается Министерством                      не позднее первого рабочего дня, следующего за днём его получения,                          на официальном сайте 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</w:rPr>
        <w:t xml:space="preserve">Министерства в информационно-телекоммуникационной сети «Интернет» по адресу: 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  <w:lang w:val="en-US"/>
        </w:rPr>
        <w:t>htt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</w:rPr>
        <w:t>://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  <w:lang w:val="en-US"/>
        </w:rPr>
        <w:t>mcx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</w:rPr>
        <w:t>73.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  <w:lang w:val="en-US"/>
        </w:rPr>
        <w:t>ru (</w:t>
      </w:r>
      <w:r>
        <w:rPr>
          <w:rStyle w:val="Style13"/>
          <w:rFonts w:cs="PT Astra Serif" w:ascii="PT Astra Serif" w:hAnsi="PT Astra Serif"/>
          <w:spacing w:val="-4"/>
          <w:sz w:val="26"/>
          <w:szCs w:val="26"/>
          <w:highlight w:val="white"/>
          <w:lang w:val="ru-RU"/>
        </w:rPr>
        <w:t>далее — официальный сайт)</w:t>
      </w:r>
      <w:r>
        <w:rPr>
          <w:rFonts w:ascii="PT Astra Serif" w:hAnsi="PT Astra Serif"/>
          <w:sz w:val="26"/>
          <w:szCs w:val="26"/>
        </w:rPr>
        <w:t xml:space="preserve">. Срок размещения протокола на официальном сайте составляет три месяца со дня его размещения. 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4.14. Заседание конкурсной комиссии по рассмотрению заявлений получателей гранта о согласовании внесении изменений в план затрат проводится в течение 15 рабочих дней со дня поступления в Министерство указанного заявления в порядке, установленном настоящим разделом.</w:t>
      </w:r>
    </w:p>
    <w:p>
      <w:pPr>
        <w:pStyle w:val="Normal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Заседание конкурсной комиссии по рассмотрению заявления получателей грантов о согласовании внесения изменений в план затрат считается правомочным, если на нём присутствует не менее чем две третий членов конкурсной комиссии.</w:t>
      </w:r>
    </w:p>
    <w:p>
      <w:pPr>
        <w:pStyle w:val="Normal"/>
        <w:bidi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</w:t>
      </w:r>
    </w:p>
    <w:sectPr>
      <w:headerReference w:type="default" r:id="rId18"/>
      <w:headerReference w:type="first" r:id="rId19"/>
      <w:footerReference w:type="default" r:id="rId20"/>
      <w:footerReference w:type="first" r:id="rId21"/>
      <w:type w:val="nextPage"/>
      <w:pgSz w:w="11906" w:h="16838"/>
      <w:pgMar w:left="1701" w:right="567" w:header="709" w:top="1135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1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1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9477</TotalTime>
  <Application>LibreOffice/6.3.2.2$Windows_X86_64 LibreOffice_project/98b30e735bda24bc04ab42594c85f7fd8be07b9c</Application>
  <Pages>7</Pages>
  <Words>1605</Words>
  <Characters>12098</Characters>
  <CharactersWithSpaces>14268</CharactersWithSpaces>
  <Paragraphs>91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2019-06-18T09:09:00Z</dcterms:created>
  <dc:creator>!!!</dc:creator>
  <dc:description/>
  <dc:language>ru-RU</dc:language>
  <cp:lastModifiedBy/>
  <cp:lastPrinted>2020-06-17T17:04:18Z</cp:lastPrinted>
  <dcterms:modified xsi:type="dcterms:W3CDTF">2020-06-18T08:39:32Z</dcterms:modified>
  <cp:revision>989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